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0"/>
          <w:sz w:val="28"/>
          <w:szCs w:val="28"/>
          <w:vertAlign w:val="baseline"/>
        </w:rPr>
      </w:pPr>
      <w:r w:rsidDel="00000000" w:rsidR="00000000" w:rsidRPr="00000000">
        <w:rPr>
          <w:b w:val="1"/>
          <w:sz w:val="28"/>
          <w:szCs w:val="28"/>
          <w:vertAlign w:val="baseline"/>
          <w:rtl w:val="0"/>
        </w:rPr>
        <w:t xml:space="preserve">GIẢI THÍCH BIỂU MẪU 1</w:t>
      </w:r>
      <w:r w:rsidDel="00000000" w:rsidR="00000000" w:rsidRPr="00000000">
        <w:rPr>
          <w:b w:val="1"/>
          <w:sz w:val="28"/>
          <w:szCs w:val="28"/>
          <w:rtl w:val="0"/>
        </w:rPr>
        <w:t xml:space="preserve">7</w:t>
      </w:r>
      <w:r w:rsidDel="00000000" w:rsidR="00000000" w:rsidRPr="00000000">
        <w:rPr>
          <w:b w:val="1"/>
          <w:sz w:val="28"/>
          <w:szCs w:val="28"/>
          <w:vertAlign w:val="baseline"/>
          <w:rtl w:val="0"/>
        </w:rPr>
        <w:t xml:space="preserve">/TP/TTTP</w:t>
      </w:r>
      <w:r w:rsidDel="00000000" w:rsidR="00000000" w:rsidRPr="00000000">
        <w:rPr>
          <w:rtl w:val="0"/>
        </w:rPr>
      </w:r>
    </w:p>
    <w:p w:rsidR="00000000" w:rsidDel="00000000" w:rsidP="00000000" w:rsidRDefault="00000000" w:rsidRPr="00000000" w14:paraId="00000002">
      <w:pPr>
        <w:jc w:val="center"/>
        <w:rPr>
          <w:b w:val="0"/>
          <w:sz w:val="28"/>
          <w:szCs w:val="28"/>
          <w:vertAlign w:val="baseline"/>
        </w:rPr>
      </w:pPr>
      <w:r w:rsidDel="00000000" w:rsidR="00000000" w:rsidRPr="00000000">
        <w:rPr>
          <w:b w:val="1"/>
          <w:sz w:val="28"/>
          <w:szCs w:val="28"/>
          <w:vertAlign w:val="baseline"/>
          <w:rtl w:val="0"/>
        </w:rPr>
        <w:t xml:space="preserve">Số hồ sơ ủy thác tư pháp về dân sự của Bộ Tư pháp</w:t>
      </w:r>
      <w:r w:rsidDel="00000000" w:rsidR="00000000" w:rsidRPr="00000000">
        <w:rPr>
          <w:rtl w:val="0"/>
        </w:rPr>
      </w:r>
    </w:p>
    <w:p w:rsidR="00000000" w:rsidDel="00000000" w:rsidP="00000000" w:rsidRDefault="00000000" w:rsidRPr="00000000" w14:paraId="00000003">
      <w:pPr>
        <w:spacing w:after="60" w:before="60" w:lineRule="auto"/>
        <w:ind w:firstLine="567"/>
        <w:jc w:val="both"/>
        <w:rPr>
          <w:b w:val="0"/>
          <w:sz w:val="28"/>
          <w:szCs w:val="28"/>
          <w:vertAlign w:val="baseline"/>
        </w:rPr>
      </w:pPr>
      <w:r w:rsidDel="00000000" w:rsidR="00000000" w:rsidRPr="00000000">
        <w:rPr>
          <w:b w:val="1"/>
          <w:sz w:val="28"/>
          <w:szCs w:val="28"/>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Biểu mẫu 1</w:t>
      </w:r>
      <w:r w:rsidDel="00000000" w:rsidR="00000000" w:rsidRPr="00000000">
        <w:rPr>
          <w:sz w:val="28"/>
          <w:szCs w:val="28"/>
          <w:rtl w:val="0"/>
        </w:rPr>
        <w:t xml:space="preserve">7</w:t>
      </w:r>
      <w:r w:rsidDel="00000000" w:rsidR="00000000" w:rsidRPr="00000000">
        <w:rPr>
          <w:sz w:val="28"/>
          <w:szCs w:val="28"/>
          <w:vertAlign w:val="baseline"/>
          <w:rtl w:val="0"/>
        </w:rPr>
        <w:t xml:space="preserve">/TP/TTTP để thu thập thông tin thống kê số hồ sơ ủy thác tư pháp về dân sự của Bộ Tư pháp. </w:t>
      </w:r>
    </w:p>
    <w:p w:rsidR="00000000" w:rsidDel="00000000" w:rsidP="00000000" w:rsidRDefault="00000000" w:rsidRPr="00000000" w14:paraId="00000005">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Giải thích thuật ngữ:</w:t>
      </w:r>
    </w:p>
    <w:p w:rsidR="00000000" w:rsidDel="00000000" w:rsidP="00000000" w:rsidRDefault="00000000" w:rsidRPr="00000000" w14:paraId="00000006">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Ủy thác tư pháp là yêu cầu bằng văn bản của cơ quan có thẩm quyền của Việt Nam hoặc cơ quan có thẩm quyền của nước ngoài về việc thực hiện một hoặc một số hoạt động tương trợ tư pháp theo quy định của pháp luật nước có liên quan hoặc điều ước quốc tế mà Việt Nam là thành viên. </w:t>
      </w:r>
    </w:p>
    <w:p w:rsidR="00000000" w:rsidDel="00000000" w:rsidP="00000000" w:rsidRDefault="00000000" w:rsidRPr="00000000" w14:paraId="00000007">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Ủy thác tư pháp Việt Nam gửi ra nước ngoài: là hồ sơ ủy thác tư pháp của cơ quan có thẩm quyền của Việt Nam lập để gửi ra nước ngoài </w:t>
      </w:r>
      <w:r w:rsidDel="00000000" w:rsidR="00000000" w:rsidRPr="00000000">
        <w:rPr>
          <w:sz w:val="28"/>
          <w:szCs w:val="28"/>
          <w:highlight w:val="white"/>
          <w:vertAlign w:val="baseline"/>
          <w:rtl w:val="0"/>
        </w:rPr>
        <w:t xml:space="preserve">đề nghị cơ quan có thẩm quyền nước ngoài thực hiện một hoặc một số hoạt động tương trợ tư pháp về dân sự</w:t>
      </w:r>
      <w:r w:rsidDel="00000000" w:rsidR="00000000" w:rsidRPr="00000000">
        <w:rPr>
          <w:sz w:val="28"/>
          <w:szCs w:val="28"/>
          <w:vertAlign w:val="baseline"/>
          <w:rtl w:val="0"/>
        </w:rPr>
        <w:t xml:space="preserv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Ủy thác tư pháp nước ngoài gửi vào Việt Nam: là hồ sơ ủy thác tư pháp của cơ quan có thẩm quyền của nước ngoài lập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đề nghị cơ quan có thẩm quyền Việt Nam thực hiện một hoặc một số hoạt động tương trợ tư pháp về dân sự.</w:t>
      </w:r>
      <w:r w:rsidDel="00000000" w:rsidR="00000000" w:rsidRPr="00000000">
        <w:rPr>
          <w:rtl w:val="0"/>
        </w:rPr>
      </w:r>
    </w:p>
    <w:p w:rsidR="00000000" w:rsidDel="00000000" w:rsidP="00000000" w:rsidRDefault="00000000" w:rsidRPr="00000000" w14:paraId="00000009">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Số hồ sơ có kết quả: là số hồ sơ đã được cơ quan có thẩm quyền thực hiện và chuyển kết quả cho Bộ Tư pháp để Bộ Tư pháp chuyển trả cơ quan yêu cầu.</w:t>
      </w:r>
    </w:p>
    <w:p w:rsidR="00000000" w:rsidDel="00000000" w:rsidP="00000000" w:rsidRDefault="00000000" w:rsidRPr="00000000" w14:paraId="0000000A">
      <w:pPr>
        <w:spacing w:after="60" w:before="60" w:lineRule="auto"/>
        <w:ind w:firstLine="567"/>
        <w:jc w:val="both"/>
        <w:rPr>
          <w:b w:val="0"/>
          <w:sz w:val="28"/>
          <w:szCs w:val="28"/>
          <w:vertAlign w:val="baseline"/>
        </w:rPr>
      </w:pPr>
      <w:r w:rsidDel="00000000" w:rsidR="00000000" w:rsidRPr="00000000">
        <w:rPr>
          <w:b w:val="1"/>
          <w:sz w:val="28"/>
          <w:szCs w:val="28"/>
          <w:vertAlign w:val="baseline"/>
          <w:rtl w:val="0"/>
        </w:rPr>
        <w:t xml:space="preserve">2. Cách ghi biểu</w:t>
      </w:r>
      <w:r w:rsidDel="00000000" w:rsidR="00000000" w:rsidRPr="00000000">
        <w:rPr>
          <w:rtl w:val="0"/>
        </w:rPr>
      </w:r>
    </w:p>
    <w:p w:rsidR="00000000" w:rsidDel="00000000" w:rsidP="00000000" w:rsidRDefault="00000000" w:rsidRPr="00000000" w14:paraId="0000000B">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1 = Cột (2+3</w:t>
      </w:r>
      <w:r w:rsidDel="00000000" w:rsidR="00000000" w:rsidRPr="00000000">
        <w:rPr>
          <w:sz w:val="28"/>
          <w:szCs w:val="28"/>
          <w:rtl w:val="0"/>
        </w:rPr>
        <w:t xml:space="preserve"> +</w:t>
      </w:r>
      <w:r w:rsidDel="00000000" w:rsidR="00000000" w:rsidRPr="00000000">
        <w:rPr>
          <w:sz w:val="28"/>
          <w:szCs w:val="28"/>
          <w:vertAlign w:val="baseline"/>
          <w:rtl w:val="0"/>
        </w:rPr>
        <w:t xml:space="preserve">4)</w:t>
      </w:r>
    </w:p>
    <w:p w:rsidR="00000000" w:rsidDel="00000000" w:rsidP="00000000" w:rsidRDefault="00000000" w:rsidRPr="00000000" w14:paraId="0000000C">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5 = Cột (6+7)</w:t>
      </w:r>
    </w:p>
    <w:p w:rsidR="00000000" w:rsidDel="00000000" w:rsidP="00000000" w:rsidRDefault="00000000" w:rsidRPr="00000000" w14:paraId="0000000D">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Cách ghi biểu:</w:t>
      </w:r>
    </w:p>
    <w:p w:rsidR="00000000" w:rsidDel="00000000" w:rsidP="00000000" w:rsidRDefault="00000000" w:rsidRPr="00000000" w14:paraId="0000000E">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w:t>
      </w:r>
      <w:r w:rsidDel="00000000" w:rsidR="00000000" w:rsidRPr="00000000">
        <w:rPr>
          <w:sz w:val="28"/>
          <w:szCs w:val="28"/>
          <w:rtl w:val="0"/>
        </w:rPr>
        <w:t xml:space="preserve">2</w:t>
      </w:r>
      <w:r w:rsidDel="00000000" w:rsidR="00000000" w:rsidRPr="00000000">
        <w:rPr>
          <w:sz w:val="28"/>
          <w:szCs w:val="28"/>
          <w:vertAlign w:val="baseline"/>
          <w:rtl w:val="0"/>
        </w:rPr>
        <w:t xml:space="preserve">: ghi số hồ sơ Bộ Tư pháp trả lại để cơ quan có thẩm quyền bổ sung, hoàn thiện </w:t>
      </w:r>
    </w:p>
    <w:p w:rsidR="00000000" w:rsidDel="00000000" w:rsidP="00000000" w:rsidRDefault="00000000" w:rsidRPr="00000000" w14:paraId="0000000F">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w:t>
      </w:r>
      <w:r w:rsidDel="00000000" w:rsidR="00000000" w:rsidRPr="00000000">
        <w:rPr>
          <w:sz w:val="28"/>
          <w:szCs w:val="28"/>
          <w:rtl w:val="0"/>
        </w:rPr>
        <w:t xml:space="preserve">3</w:t>
      </w:r>
      <w:r w:rsidDel="00000000" w:rsidR="00000000" w:rsidRPr="00000000">
        <w:rPr>
          <w:sz w:val="28"/>
          <w:szCs w:val="28"/>
          <w:vertAlign w:val="baseline"/>
          <w:rtl w:val="0"/>
        </w:rPr>
        <w:t xml:space="preserve">: ghi số hồ sơ Bộ Tư pháp chuyển thực hiện đến/từ các nước có điều ước quốc tế với Việt Nam</w:t>
      </w:r>
    </w:p>
    <w:p w:rsidR="00000000" w:rsidDel="00000000" w:rsidP="00000000" w:rsidRDefault="00000000" w:rsidRPr="00000000" w14:paraId="00000010">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w:t>
      </w:r>
      <w:r w:rsidDel="00000000" w:rsidR="00000000" w:rsidRPr="00000000">
        <w:rPr>
          <w:sz w:val="28"/>
          <w:szCs w:val="28"/>
          <w:rtl w:val="0"/>
        </w:rPr>
        <w:t xml:space="preserve">4</w:t>
      </w:r>
      <w:r w:rsidDel="00000000" w:rsidR="00000000" w:rsidRPr="00000000">
        <w:rPr>
          <w:sz w:val="28"/>
          <w:szCs w:val="28"/>
          <w:vertAlign w:val="baseline"/>
          <w:rtl w:val="0"/>
        </w:rPr>
        <w:t xml:space="preserve">: ghi số hồ sơ Bộ Tư pháp chuyển thực hiện đến/từ các nước chưa có điều ước quốc tế với Việt Nam</w:t>
      </w:r>
    </w:p>
    <w:p w:rsidR="00000000" w:rsidDel="00000000" w:rsidP="00000000" w:rsidRDefault="00000000" w:rsidRPr="00000000" w14:paraId="00000011">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w:t>
      </w:r>
      <w:r w:rsidDel="00000000" w:rsidR="00000000" w:rsidRPr="00000000">
        <w:rPr>
          <w:sz w:val="28"/>
          <w:szCs w:val="28"/>
          <w:rtl w:val="0"/>
        </w:rPr>
        <w:t xml:space="preserve">6</w:t>
      </w:r>
      <w:r w:rsidDel="00000000" w:rsidR="00000000" w:rsidRPr="00000000">
        <w:rPr>
          <w:sz w:val="28"/>
          <w:szCs w:val="28"/>
          <w:vertAlign w:val="baseline"/>
          <w:rtl w:val="0"/>
        </w:rPr>
        <w:t xml:space="preserve">: ghi số hồ sơ kết quả Bộ Tư pháp đã tiếp nhận đến/từ các nước có điều ước quốc tế với Việt Nam</w:t>
      </w:r>
    </w:p>
    <w:p w:rsidR="00000000" w:rsidDel="00000000" w:rsidP="00000000" w:rsidRDefault="00000000" w:rsidRPr="00000000" w14:paraId="00000012">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 Cột </w:t>
      </w:r>
      <w:r w:rsidDel="00000000" w:rsidR="00000000" w:rsidRPr="00000000">
        <w:rPr>
          <w:sz w:val="28"/>
          <w:szCs w:val="28"/>
          <w:rtl w:val="0"/>
        </w:rPr>
        <w:t xml:space="preserve">7</w:t>
      </w:r>
      <w:r w:rsidDel="00000000" w:rsidR="00000000" w:rsidRPr="00000000">
        <w:rPr>
          <w:sz w:val="28"/>
          <w:szCs w:val="28"/>
          <w:vertAlign w:val="baseline"/>
          <w:rtl w:val="0"/>
        </w:rPr>
        <w:t xml:space="preserve">: ghi số hồ sơ kết quả Bộ Tư pháp đã tiếp nhận đến/từ các nước chưa có điều ước quốc tế với Việt Nam</w:t>
      </w:r>
    </w:p>
    <w:p w:rsidR="00000000" w:rsidDel="00000000" w:rsidP="00000000" w:rsidRDefault="00000000" w:rsidRPr="00000000" w14:paraId="00000013">
      <w:pPr>
        <w:spacing w:after="60" w:before="60" w:lineRule="auto"/>
        <w:ind w:firstLine="567"/>
        <w:jc w:val="both"/>
        <w:rPr>
          <w:b w:val="0"/>
          <w:sz w:val="28"/>
          <w:szCs w:val="28"/>
          <w:vertAlign w:val="baseline"/>
        </w:rPr>
      </w:pPr>
      <w:r w:rsidDel="00000000" w:rsidR="00000000" w:rsidRPr="00000000">
        <w:rPr>
          <w:b w:val="1"/>
          <w:sz w:val="28"/>
          <w:szCs w:val="28"/>
          <w:vertAlign w:val="baseline"/>
          <w:rtl w:val="0"/>
        </w:rPr>
        <w:t xml:space="preserve">3. Nguồn số liệu</w:t>
      </w:r>
      <w:r w:rsidDel="00000000" w:rsidR="00000000" w:rsidRPr="00000000">
        <w:rPr>
          <w:rtl w:val="0"/>
        </w:rPr>
      </w:r>
    </w:p>
    <w:p w:rsidR="00000000" w:rsidDel="00000000" w:rsidP="00000000" w:rsidRDefault="00000000" w:rsidRPr="00000000" w14:paraId="00000014">
      <w:pPr>
        <w:spacing w:after="60" w:before="60" w:lineRule="auto"/>
        <w:ind w:firstLine="567"/>
        <w:jc w:val="both"/>
        <w:rPr>
          <w:sz w:val="28"/>
          <w:szCs w:val="28"/>
          <w:vertAlign w:val="baseline"/>
        </w:rPr>
      </w:pPr>
      <w:r w:rsidDel="00000000" w:rsidR="00000000" w:rsidRPr="00000000">
        <w:rPr>
          <w:sz w:val="28"/>
          <w:szCs w:val="28"/>
          <w:vertAlign w:val="baseline"/>
          <w:rtl w:val="0"/>
        </w:rPr>
        <w:t xml:space="preserve">Từ sổ sách ghi chép ban đầu và báo cáo thống kê của Bộ Tư pháp về tình hình thực hiện tương trợ tư pháp dân sự quy định tại Điều 62 của Luật Tương trợ tư pháp số 08/2007/QH12.</w:t>
      </w:r>
    </w:p>
    <w:sectPr>
      <w:pgSz w:h="11909" w:w="16834" w:orient="landscape"/>
      <w:pgMar w:bottom="851" w:top="851" w:left="1140" w:right="11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normal-h">
    <w:name w:val="normal-h"/>
    <w:basedOn w:val="DefaultParagraphFont"/>
    <w:next w:val="normal-h"/>
    <w:autoRedefine w:val="0"/>
    <w:hidden w:val="0"/>
    <w:qFormat w:val="0"/>
    <w:rPr>
      <w:w w:val="100"/>
      <w:position w:val="-1"/>
      <w:effect w:val="none"/>
      <w:vertAlign w:val="baseline"/>
      <w:cs w:val="0"/>
      <w:em w:val="none"/>
      <w:lang/>
    </w:rPr>
  </w:style>
  <w:style w:type="paragraph" w:styleId="CharCharChar">
    <w:name w:val="Char Char Char"/>
    <w:basedOn w:val="Normal"/>
    <w:next w:val="Normal"/>
    <w:autoRedefine w:val="0"/>
    <w:hidden w:val="0"/>
    <w:qFormat w:val="0"/>
    <w:pPr>
      <w:suppressAutoHyphens w:val="1"/>
      <w:spacing w:after="120" w:before="120" w:line="312" w:lineRule="auto"/>
      <w:ind w:leftChars="-1" w:rightChars="0" w:firstLineChars="-1"/>
      <w:textDirection w:val="btLr"/>
      <w:textAlignment w:val="top"/>
      <w:outlineLvl w:val="0"/>
    </w:pPr>
    <w:rPr>
      <w:w w:val="100"/>
      <w:position w:val="-1"/>
      <w:sz w:val="28"/>
      <w:szCs w:val="28"/>
      <w:effect w:val="none"/>
      <w:vertAlign w:val="baseline"/>
      <w:cs w:val="0"/>
      <w:em w:val="none"/>
      <w:lang w:bidi="ar-SA" w:eastAsia="en-US" w:val="en-US"/>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en-US"/>
    </w:rPr>
  </w:style>
  <w:style w:type="character" w:styleId="CommentTextChar">
    <w:name w:val="Comment Text Char"/>
    <w:basedOn w:val="DefaultParagraphFont"/>
    <w:next w:val="CommentTextChar"/>
    <w:autoRedefine w:val="0"/>
    <w:hidden w:val="0"/>
    <w:qFormat w:val="0"/>
    <w:rPr>
      <w:w w:val="100"/>
      <w:position w:val="-1"/>
      <w:effect w:val="none"/>
      <w:vertAlign w:val="baseline"/>
      <w:cs w:val="0"/>
      <w:em w:val="none"/>
      <w:lang/>
    </w:rPr>
  </w:style>
  <w:style w:type="paragraph" w:styleId="CommentSubject">
    <w:name w:val="Comment Subject"/>
    <w:basedOn w:val="CommentText"/>
    <w:next w:val="CommentText"/>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und" w:val="und"/>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rfDN5uiHfE1NZaDmuO7ywK+dqw==">CgMxLjA4AHIhMU9yX0R6QlpBTEpVamM4M1RSZGswdFRmazZSajR5RW1R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2018-12-19T07:30:00Z</dcterms:created>
  <dc:creator>Manh Cuong</dc:creator>
</cp:coreProperties>
</file>